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7F" w:rsidRDefault="003B4633" w:rsidP="00285F7F">
      <w:pPr>
        <w:jc w:val="center"/>
        <w:rPr>
          <w:rFonts w:ascii="方正小标宋简体" w:eastAsia="方正小标宋简体"/>
          <w:sz w:val="44"/>
          <w:szCs w:val="44"/>
        </w:rPr>
      </w:pPr>
      <w:r w:rsidRPr="00285F7F">
        <w:rPr>
          <w:rFonts w:ascii="方正小标宋简体" w:eastAsia="方正小标宋简体" w:hint="eastAsia"/>
          <w:sz w:val="44"/>
          <w:szCs w:val="44"/>
        </w:rPr>
        <w:t>《DOCDEX裁决汇编2009—2012》</w:t>
      </w:r>
      <w:r w:rsidR="00496B58" w:rsidRPr="00285F7F">
        <w:rPr>
          <w:rFonts w:ascii="方正小标宋简体" w:eastAsia="方正小标宋简体" w:hint="eastAsia"/>
          <w:sz w:val="44"/>
          <w:szCs w:val="44"/>
        </w:rPr>
        <w:t>中英</w:t>
      </w:r>
    </w:p>
    <w:p w:rsidR="00496B58" w:rsidRPr="00285F7F" w:rsidRDefault="008663C2" w:rsidP="00285F7F">
      <w:pPr>
        <w:jc w:val="center"/>
        <w:rPr>
          <w:rFonts w:ascii="方正小标宋简体" w:eastAsia="方正小标宋简体"/>
          <w:sz w:val="44"/>
          <w:szCs w:val="44"/>
        </w:rPr>
      </w:pPr>
      <w:r>
        <w:rPr>
          <w:rFonts w:ascii="方正小标宋简体" w:eastAsia="方正小标宋简体" w:hint="eastAsia"/>
          <w:sz w:val="44"/>
          <w:szCs w:val="44"/>
        </w:rPr>
        <w:t>双语版新鲜出炉</w:t>
      </w:r>
    </w:p>
    <w:p w:rsidR="00496B58" w:rsidRPr="00285F7F" w:rsidRDefault="00496B58" w:rsidP="00496B58">
      <w:pPr>
        <w:ind w:firstLine="420"/>
        <w:rPr>
          <w:rFonts w:ascii="仿宋_GB2312" w:eastAsia="仿宋_GB2312"/>
          <w:sz w:val="32"/>
          <w:szCs w:val="32"/>
        </w:rPr>
      </w:pPr>
      <w:r w:rsidRPr="00285F7F">
        <w:rPr>
          <w:rFonts w:ascii="仿宋_GB2312" w:eastAsia="仿宋_GB2312" w:hint="eastAsia"/>
          <w:sz w:val="32"/>
          <w:szCs w:val="32"/>
        </w:rPr>
        <w:t>跟单金融产品争议专家解决（DOCDEX）机制由国际商会（ICC）于1997年创立。该机制旨在响应对低成本及快速解决信用证纠纷的需求。在DOCDEX机制下，国际商会专家中心指定三位专家组成国际商会专家组来提供基于争议当事人提交的单据的裁决。裁决通常在30-60天的合理时间内宣布。除非当事人愿意，DOCDEX裁决不具有法律效力，且对各方当事人不具有约束力，但是如果当事人之后决定诉诸法庭，则裁决可以作为证据。而且，如果一方当事人拥有对其有利的DOCDEX裁决，那么另一方可能会决定根本不去进行法律诉讼。截至2015年，DOCDEX规则已裁决了150起跟单金融产品争议案件。因其处理时间短、效率高、花费少，DOCDEX已成为众多银行和企业在法院裁决、仲裁之外解决贸易金融纠纷的首选。</w:t>
      </w:r>
    </w:p>
    <w:p w:rsidR="00496B58" w:rsidRPr="00285F7F" w:rsidRDefault="00496B58" w:rsidP="00496B58">
      <w:pPr>
        <w:ind w:firstLine="420"/>
        <w:rPr>
          <w:rFonts w:ascii="仿宋_GB2312" w:eastAsia="仿宋_GB2312"/>
          <w:sz w:val="32"/>
          <w:szCs w:val="32"/>
        </w:rPr>
      </w:pPr>
      <w:r w:rsidRPr="00285F7F">
        <w:rPr>
          <w:rFonts w:ascii="仿宋_GB2312" w:eastAsia="仿宋_GB2312" w:hint="eastAsia"/>
          <w:sz w:val="32"/>
          <w:szCs w:val="32"/>
        </w:rPr>
        <w:t>本书对2009至2012年间的DOCDEX案件进行了梳理，帮助读者全面、深入地掌握DOCDEX规则和争议解决方式。相较以往的出版物，本书包括更多的针对UCP 600的裁决，并与DOCDEX规则的广泛授权保持一致，还包括与UCP 500、UCP 222（1962年起生效）、URC 522及URDG 458有关的案例。随着中外交流合作的日益频繁，希望中文译本能够让更多国</w:t>
      </w:r>
      <w:r w:rsidRPr="00285F7F">
        <w:rPr>
          <w:rFonts w:ascii="仿宋_GB2312" w:eastAsia="仿宋_GB2312" w:hint="eastAsia"/>
          <w:sz w:val="32"/>
          <w:szCs w:val="32"/>
        </w:rPr>
        <w:lastRenderedPageBreak/>
        <w:t>内的业内人士和相关从业人员更加深入、全面地了解并通过案例学习、掌握国际商会相关规则在纷繁复杂的贸易金融实务中的具体运用。</w:t>
      </w:r>
    </w:p>
    <w:p w:rsidR="00496B58" w:rsidRPr="00285F7F" w:rsidRDefault="00496B58" w:rsidP="00496B58">
      <w:pPr>
        <w:ind w:firstLine="420"/>
        <w:rPr>
          <w:rFonts w:ascii="仿宋_GB2312" w:eastAsia="仿宋_GB2312"/>
          <w:sz w:val="32"/>
          <w:szCs w:val="32"/>
        </w:rPr>
      </w:pPr>
      <w:r w:rsidRPr="00285F7F">
        <w:rPr>
          <w:rFonts w:ascii="仿宋_GB2312" w:eastAsia="仿宋_GB2312" w:hint="eastAsia"/>
          <w:sz w:val="32"/>
          <w:szCs w:val="32"/>
        </w:rPr>
        <w:t>值得一提的是，DOCDEX最新修订版已于2015年5月1日正式出版，其适用范围扩大到贸易贷款、银团贷款、议付工具、风险参贷等国际商会银行规则尚未覆盖到的领域，制定了标准化处理流程，提高了争端解决的透明度和处理效率。新规则的执行将进一步提升DOCDEX规则在国际社会的认可度和利用率。今后，国际商会中国国家委员会（ICC China）将继续引进国际商会关于DOCDEX和其他规则惯例的出版物，以飨国内读者。</w:t>
      </w:r>
    </w:p>
    <w:p w:rsidR="00496B58" w:rsidRPr="00285F7F" w:rsidRDefault="00496B58" w:rsidP="00496B58">
      <w:pPr>
        <w:ind w:firstLine="420"/>
        <w:rPr>
          <w:rFonts w:ascii="仿宋_GB2312" w:eastAsia="仿宋_GB2312"/>
          <w:sz w:val="32"/>
          <w:szCs w:val="32"/>
        </w:rPr>
      </w:pPr>
      <w:r w:rsidRPr="00285F7F">
        <w:rPr>
          <w:rFonts w:ascii="仿宋_GB2312" w:eastAsia="仿宋_GB2312" w:hint="eastAsia"/>
          <w:sz w:val="32"/>
          <w:szCs w:val="32"/>
        </w:rPr>
        <w:t>希望本书能为各位读者的实践工作提供有效指导。</w:t>
      </w:r>
    </w:p>
    <w:p w:rsidR="00496B58" w:rsidRPr="00285F7F" w:rsidRDefault="00496B58" w:rsidP="003B4633">
      <w:pPr>
        <w:ind w:firstLine="420"/>
        <w:rPr>
          <w:rFonts w:ascii="仿宋_GB2312" w:eastAsia="仿宋_GB2312"/>
          <w:sz w:val="32"/>
          <w:szCs w:val="32"/>
        </w:rPr>
      </w:pPr>
    </w:p>
    <w:p w:rsidR="003B4633" w:rsidRPr="00285F7F" w:rsidRDefault="003B4633" w:rsidP="003B4633">
      <w:pPr>
        <w:ind w:firstLine="420"/>
        <w:rPr>
          <w:rFonts w:ascii="仿宋_GB2312" w:eastAsia="仿宋_GB2312"/>
          <w:sz w:val="32"/>
          <w:szCs w:val="32"/>
        </w:rPr>
      </w:pPr>
      <w:r w:rsidRPr="00285F7F">
        <w:rPr>
          <w:rFonts w:ascii="仿宋_GB2312" w:eastAsia="仿宋_GB2312" w:hint="eastAsia"/>
          <w:sz w:val="32"/>
          <w:szCs w:val="32"/>
        </w:rPr>
        <w:t>本书由对外经济贸易大学出版社出版，在全国各大新华书店及各网店销售。</w:t>
      </w:r>
    </w:p>
    <w:p w:rsidR="003B4633" w:rsidRPr="00285F7F" w:rsidRDefault="003B4633" w:rsidP="003B4633">
      <w:pPr>
        <w:ind w:firstLine="420"/>
        <w:rPr>
          <w:rFonts w:ascii="仿宋_GB2312" w:eastAsia="仿宋_GB2312"/>
          <w:sz w:val="32"/>
          <w:szCs w:val="32"/>
        </w:rPr>
      </w:pPr>
      <w:r w:rsidRPr="00285F7F">
        <w:rPr>
          <w:rFonts w:ascii="仿宋_GB2312" w:eastAsia="仿宋_GB2312" w:hint="eastAsia"/>
          <w:sz w:val="32"/>
          <w:szCs w:val="32"/>
        </w:rPr>
        <w:t>王老师（团购50本以上，可享受优惠价）：010-64493877。</w:t>
      </w:r>
    </w:p>
    <w:p w:rsidR="003B4633" w:rsidRPr="00285F7F" w:rsidRDefault="003B4633" w:rsidP="003B4633">
      <w:pPr>
        <w:ind w:firstLine="420"/>
        <w:rPr>
          <w:rFonts w:ascii="仿宋_GB2312" w:eastAsia="仿宋_GB2312"/>
          <w:sz w:val="32"/>
          <w:szCs w:val="32"/>
        </w:rPr>
      </w:pPr>
      <w:r w:rsidRPr="00285F7F">
        <w:rPr>
          <w:rFonts w:ascii="仿宋_GB2312" w:eastAsia="仿宋_GB2312" w:hint="eastAsia"/>
          <w:sz w:val="32"/>
          <w:szCs w:val="32"/>
        </w:rPr>
        <w:t>李老师（散购）：010-64492338。</w:t>
      </w:r>
      <w:bookmarkStart w:id="0" w:name="_GoBack"/>
      <w:bookmarkEnd w:id="0"/>
    </w:p>
    <w:p w:rsidR="003B4633" w:rsidRPr="003B4633" w:rsidRDefault="003B4633" w:rsidP="003B4633">
      <w:pPr>
        <w:ind w:firstLine="420"/>
        <w:rPr>
          <w:rFonts w:ascii="仿宋_GB2312" w:eastAsia="仿宋_GB2312"/>
          <w:sz w:val="32"/>
          <w:szCs w:val="32"/>
        </w:rPr>
      </w:pPr>
      <w:r w:rsidRPr="003B4633">
        <w:rPr>
          <w:rFonts w:ascii="仿宋_GB2312" w:eastAsia="仿宋_GB2312" w:hint="eastAsia"/>
          <w:sz w:val="32"/>
          <w:szCs w:val="32"/>
        </w:rPr>
        <w:t>京东：http://item.jd.com/12180622.html?dist=jd</w:t>
      </w:r>
    </w:p>
    <w:p w:rsidR="003B4633" w:rsidRPr="00285F7F" w:rsidRDefault="003B4633" w:rsidP="00285F7F">
      <w:pPr>
        <w:ind w:firstLineChars="175" w:firstLine="560"/>
        <w:rPr>
          <w:rFonts w:ascii="仿宋_GB2312" w:eastAsia="仿宋_GB2312"/>
          <w:sz w:val="32"/>
          <w:szCs w:val="32"/>
        </w:rPr>
      </w:pPr>
      <w:r w:rsidRPr="003B4633">
        <w:rPr>
          <w:rFonts w:ascii="仿宋_GB2312" w:eastAsia="仿宋_GB2312" w:hint="eastAsia"/>
          <w:sz w:val="32"/>
          <w:szCs w:val="32"/>
        </w:rPr>
        <w:t>亚马逊：</w:t>
      </w:r>
    </w:p>
    <w:p w:rsidR="003B4633" w:rsidRPr="003B4633" w:rsidRDefault="003B4633" w:rsidP="003B4633">
      <w:pPr>
        <w:ind w:leftChars="228" w:left="479"/>
        <w:rPr>
          <w:rFonts w:ascii="仿宋_GB2312" w:eastAsia="仿宋_GB2312"/>
          <w:sz w:val="32"/>
          <w:szCs w:val="32"/>
        </w:rPr>
      </w:pPr>
      <w:r w:rsidRPr="003B4633">
        <w:rPr>
          <w:rFonts w:ascii="仿宋_GB2312" w:eastAsia="仿宋_GB2312" w:hint="eastAsia"/>
          <w:sz w:val="32"/>
          <w:szCs w:val="32"/>
        </w:rPr>
        <w:t>https://www.amazon.cn/gp/product/B072NZ71DC/ref=ox_sc_mini_detail?ie=UTF8&amp;psc=1&amp;smid=A1AJ19PSB66TGU</w:t>
      </w:r>
    </w:p>
    <w:p w:rsidR="003B4633" w:rsidRPr="003B4633" w:rsidRDefault="003B4633" w:rsidP="003B4633">
      <w:pPr>
        <w:ind w:firstLine="420"/>
        <w:rPr>
          <w:rFonts w:ascii="仿宋_GB2312" w:eastAsia="仿宋_GB2312"/>
          <w:sz w:val="32"/>
          <w:szCs w:val="32"/>
        </w:rPr>
      </w:pPr>
      <w:r w:rsidRPr="003B4633">
        <w:rPr>
          <w:rFonts w:ascii="仿宋_GB2312" w:eastAsia="仿宋_GB2312" w:hint="eastAsia"/>
          <w:sz w:val="32"/>
          <w:szCs w:val="32"/>
        </w:rPr>
        <w:lastRenderedPageBreak/>
        <w:t> </w:t>
      </w:r>
      <w:r w:rsidRPr="003B4633">
        <w:rPr>
          <w:rFonts w:ascii="仿宋_GB2312" w:eastAsia="仿宋_GB2312" w:hint="eastAsia"/>
          <w:sz w:val="32"/>
          <w:szCs w:val="32"/>
        </w:rPr>
        <w:t>当当：http://product.dangdang.com/25067352.html</w:t>
      </w:r>
    </w:p>
    <w:p w:rsidR="003B4633" w:rsidRPr="00285F7F" w:rsidRDefault="003B4633" w:rsidP="00285F7F">
      <w:pPr>
        <w:ind w:firstLine="420"/>
        <w:rPr>
          <w:rFonts w:ascii="仿宋_GB2312" w:eastAsia="仿宋_GB2312"/>
          <w:sz w:val="32"/>
          <w:szCs w:val="32"/>
        </w:rPr>
      </w:pPr>
    </w:p>
    <w:sectPr w:rsidR="003B4633" w:rsidRPr="00285F7F" w:rsidSect="006453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F01" w:rsidRDefault="00A13F01" w:rsidP="00C73A5E">
      <w:r>
        <w:separator/>
      </w:r>
    </w:p>
  </w:endnote>
  <w:endnote w:type="continuationSeparator" w:id="1">
    <w:p w:rsidR="00A13F01" w:rsidRDefault="00A13F01" w:rsidP="00C73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F01" w:rsidRDefault="00A13F01" w:rsidP="00C73A5E">
      <w:r>
        <w:separator/>
      </w:r>
    </w:p>
  </w:footnote>
  <w:footnote w:type="continuationSeparator" w:id="1">
    <w:p w:rsidR="00A13F01" w:rsidRDefault="00A13F01" w:rsidP="00C73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633"/>
    <w:rsid w:val="00285F7F"/>
    <w:rsid w:val="003B4633"/>
    <w:rsid w:val="00496B58"/>
    <w:rsid w:val="00645356"/>
    <w:rsid w:val="008663C2"/>
    <w:rsid w:val="00A13F01"/>
    <w:rsid w:val="00AB6279"/>
    <w:rsid w:val="00BD1869"/>
    <w:rsid w:val="00C73A5E"/>
    <w:rsid w:val="00ED46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A5E"/>
    <w:rPr>
      <w:rFonts w:ascii="Calibri" w:eastAsia="宋体" w:hAnsi="Calibri" w:cs="Times New Roman"/>
      <w:sz w:val="18"/>
      <w:szCs w:val="18"/>
    </w:rPr>
  </w:style>
  <w:style w:type="paragraph" w:styleId="a4">
    <w:name w:val="footer"/>
    <w:basedOn w:val="a"/>
    <w:link w:val="Char0"/>
    <w:uiPriority w:val="99"/>
    <w:semiHidden/>
    <w:unhideWhenUsed/>
    <w:rsid w:val="00C73A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A5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3093794">
      <w:marLeft w:val="0"/>
      <w:marRight w:val="0"/>
      <w:marTop w:val="0"/>
      <w:marBottom w:val="0"/>
      <w:divBdr>
        <w:top w:val="none" w:sz="0" w:space="0" w:color="auto"/>
        <w:left w:val="none" w:sz="0" w:space="0" w:color="auto"/>
        <w:bottom w:val="none" w:sz="0" w:space="0" w:color="auto"/>
        <w:right w:val="none" w:sz="0" w:space="0" w:color="auto"/>
      </w:divBdr>
    </w:div>
    <w:div w:id="1194997554">
      <w:marLeft w:val="0"/>
      <w:marRight w:val="0"/>
      <w:marTop w:val="0"/>
      <w:marBottom w:val="0"/>
      <w:divBdr>
        <w:top w:val="none" w:sz="0" w:space="0" w:color="auto"/>
        <w:left w:val="none" w:sz="0" w:space="0" w:color="auto"/>
        <w:bottom w:val="none" w:sz="0" w:space="0" w:color="auto"/>
        <w:right w:val="none" w:sz="0" w:space="0" w:color="auto"/>
      </w:divBdr>
    </w:div>
    <w:div w:id="1344285277">
      <w:bodyDiv w:val="1"/>
      <w:marLeft w:val="0"/>
      <w:marRight w:val="0"/>
      <w:marTop w:val="0"/>
      <w:marBottom w:val="0"/>
      <w:divBdr>
        <w:top w:val="none" w:sz="0" w:space="0" w:color="auto"/>
        <w:left w:val="none" w:sz="0" w:space="0" w:color="auto"/>
        <w:bottom w:val="none" w:sz="0" w:space="0" w:color="auto"/>
        <w:right w:val="none" w:sz="0" w:space="0" w:color="auto"/>
      </w:divBdr>
    </w:div>
    <w:div w:id="1790201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申菲</dc:creator>
  <cp:lastModifiedBy>申菲</cp:lastModifiedBy>
  <cp:revision>3</cp:revision>
  <dcterms:created xsi:type="dcterms:W3CDTF">2017-04-27T05:14:00Z</dcterms:created>
  <dcterms:modified xsi:type="dcterms:W3CDTF">2017-04-27T05:26:00Z</dcterms:modified>
</cp:coreProperties>
</file>