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17" w:rsidRDefault="00373017" w:rsidP="00200FD9">
      <w:pPr>
        <w:pStyle w:val="Title"/>
      </w:pPr>
      <w:r>
        <w:rPr>
          <w:rFonts w:hint="eastAsia"/>
        </w:rPr>
        <w:t>国际商会国际销售示范合同（制成品）</w:t>
      </w:r>
      <w:r>
        <w:t>2013</w:t>
      </w:r>
      <w:r>
        <w:rPr>
          <w:rFonts w:hint="eastAsia"/>
        </w:rPr>
        <w:t>修订版</w:t>
      </w:r>
    </w:p>
    <w:p w:rsidR="00373017" w:rsidRPr="00200FD9" w:rsidRDefault="00373017">
      <w:pPr>
        <w:rPr>
          <w:b/>
          <w:sz w:val="28"/>
          <w:szCs w:val="28"/>
        </w:rPr>
      </w:pPr>
      <w:r w:rsidRPr="00200FD9">
        <w:rPr>
          <w:rFonts w:hint="eastAsia"/>
          <w:b/>
          <w:sz w:val="28"/>
          <w:szCs w:val="28"/>
        </w:rPr>
        <w:t>基本信息</w:t>
      </w:r>
    </w:p>
    <w:p w:rsidR="00373017" w:rsidRDefault="00373017">
      <w:r>
        <w:rPr>
          <w:rFonts w:hint="eastAsia"/>
        </w:rPr>
        <w:t>书名：国际商会国际销售示范合同（制成品）</w:t>
      </w:r>
      <w:r>
        <w:t>2013</w:t>
      </w:r>
      <w:r>
        <w:rPr>
          <w:rFonts w:hint="eastAsia"/>
        </w:rPr>
        <w:t>修订版</w:t>
      </w:r>
    </w:p>
    <w:p w:rsidR="00373017" w:rsidRDefault="00373017">
      <w:r>
        <w:rPr>
          <w:rFonts w:hint="eastAsia"/>
        </w:rPr>
        <w:t>作者：中国国际商会</w:t>
      </w:r>
      <w:r>
        <w:t>/</w:t>
      </w:r>
      <w:r>
        <w:rPr>
          <w:rFonts w:hint="eastAsia"/>
        </w:rPr>
        <w:t>国际商会中国国家委员会</w:t>
      </w:r>
      <w:r>
        <w:t xml:space="preserve"> </w:t>
      </w:r>
      <w:r>
        <w:rPr>
          <w:rFonts w:hint="eastAsia"/>
        </w:rPr>
        <w:t>组织翻译</w:t>
      </w:r>
    </w:p>
    <w:p w:rsidR="00373017" w:rsidRDefault="00373017">
      <w:r>
        <w:t>ISBN</w:t>
      </w:r>
      <w:r>
        <w:rPr>
          <w:rFonts w:hint="eastAsia"/>
        </w:rPr>
        <w:t>：</w:t>
      </w:r>
      <w:r>
        <w:t>978-7-5663-1570-0</w:t>
      </w:r>
    </w:p>
    <w:p w:rsidR="00373017" w:rsidRDefault="00373017">
      <w:r>
        <w:rPr>
          <w:rFonts w:hint="eastAsia"/>
        </w:rPr>
        <w:t>定价：</w:t>
      </w:r>
      <w:r>
        <w:t>42.00</w:t>
      </w:r>
    </w:p>
    <w:p w:rsidR="00373017" w:rsidRDefault="00373017">
      <w:r>
        <w:rPr>
          <w:rFonts w:hint="eastAsia"/>
        </w:rPr>
        <w:t>出版社：对外经济贸易大学出版社</w:t>
      </w:r>
    </w:p>
    <w:p w:rsidR="00373017" w:rsidRDefault="00373017">
      <w:r>
        <w:rPr>
          <w:rFonts w:hint="eastAsia"/>
        </w:rPr>
        <w:t>出版日期：</w:t>
      </w:r>
      <w:r>
        <w:t>2017</w:t>
      </w:r>
      <w:r>
        <w:rPr>
          <w:rFonts w:hint="eastAsia"/>
        </w:rPr>
        <w:t>年</w:t>
      </w:r>
      <w:r>
        <w:t>1</w:t>
      </w:r>
      <w:r>
        <w:rPr>
          <w:rFonts w:hint="eastAsia"/>
        </w:rPr>
        <w:t>月</w:t>
      </w:r>
    </w:p>
    <w:p w:rsidR="00373017" w:rsidRDefault="00373017">
      <w:r>
        <w:rPr>
          <w:rFonts w:hint="eastAsia"/>
        </w:rPr>
        <w:t>版次：</w:t>
      </w:r>
      <w:r>
        <w:t>1</w:t>
      </w:r>
    </w:p>
    <w:p w:rsidR="00373017" w:rsidRDefault="00373017">
      <w:r>
        <w:rPr>
          <w:rFonts w:hint="eastAsia"/>
        </w:rPr>
        <w:t>印次：</w:t>
      </w:r>
      <w:r>
        <w:t>1</w:t>
      </w:r>
    </w:p>
    <w:p w:rsidR="00373017" w:rsidRDefault="00373017">
      <w:r>
        <w:rPr>
          <w:rFonts w:hint="eastAsia"/>
        </w:rPr>
        <w:t>页数：</w:t>
      </w:r>
      <w:r>
        <w:t>168</w:t>
      </w:r>
    </w:p>
    <w:p w:rsidR="00373017" w:rsidRDefault="00373017">
      <w:r>
        <w:rPr>
          <w:rFonts w:hint="eastAsia"/>
        </w:rPr>
        <w:t>字数：</w:t>
      </w:r>
      <w:r>
        <w:t>289</w:t>
      </w:r>
      <w:r>
        <w:rPr>
          <w:rFonts w:hint="eastAsia"/>
        </w:rPr>
        <w:t>千字</w:t>
      </w:r>
    </w:p>
    <w:p w:rsidR="00373017" w:rsidRDefault="00373017">
      <w:r>
        <w:rPr>
          <w:rFonts w:hint="eastAsia"/>
        </w:rPr>
        <w:t>成品尺寸：</w:t>
      </w:r>
      <w:r>
        <w:t>210m</w:t>
      </w:r>
      <w:r w:rsidRPr="002D7D16">
        <w:t>m</w:t>
      </w:r>
      <w:r w:rsidRPr="002D7D16">
        <w:rPr>
          <w:rFonts w:hint="eastAsia"/>
        </w:rPr>
        <w:t>×</w:t>
      </w:r>
      <w:r w:rsidRPr="002D7D16">
        <w:t>297mm</w:t>
      </w:r>
    </w:p>
    <w:p w:rsidR="00373017" w:rsidRDefault="00373017">
      <w:r>
        <w:rPr>
          <w:rFonts w:hint="eastAsia"/>
        </w:rPr>
        <w:t>包装：平装</w:t>
      </w:r>
    </w:p>
    <w:p w:rsidR="00373017" w:rsidRPr="00200FD9" w:rsidRDefault="00373017">
      <w:pPr>
        <w:rPr>
          <w:b/>
          <w:sz w:val="28"/>
          <w:szCs w:val="28"/>
        </w:rPr>
      </w:pPr>
      <w:r w:rsidRPr="00200FD9">
        <w:rPr>
          <w:rFonts w:hint="eastAsia"/>
          <w:b/>
          <w:sz w:val="28"/>
          <w:szCs w:val="28"/>
        </w:rPr>
        <w:t>作者简介</w:t>
      </w:r>
    </w:p>
    <w:p w:rsidR="00373017" w:rsidRDefault="00373017" w:rsidP="006407E7">
      <w:pPr>
        <w:ind w:firstLineChars="200" w:firstLine="31680"/>
      </w:pPr>
      <w:r w:rsidRPr="00332D4B">
        <w:rPr>
          <w:rFonts w:hint="eastAsia"/>
        </w:rPr>
        <w:t>国际商会（</w:t>
      </w:r>
      <w:r w:rsidRPr="00332D4B">
        <w:t>International Chamber of Commerce</w:t>
      </w:r>
      <w:r w:rsidRPr="00332D4B">
        <w:rPr>
          <w:rFonts w:hint="eastAsia"/>
        </w:rPr>
        <w:t>，</w:t>
      </w:r>
      <w:r w:rsidRPr="00332D4B">
        <w:t>ICC</w:t>
      </w:r>
      <w:r w:rsidRPr="00332D4B">
        <w:rPr>
          <w:rFonts w:hint="eastAsia"/>
        </w:rPr>
        <w:t>），成立于</w:t>
      </w:r>
      <w:r w:rsidRPr="00332D4B">
        <w:t>1919</w:t>
      </w:r>
      <w:r w:rsidRPr="00332D4B">
        <w:rPr>
          <w:rFonts w:hint="eastAsia"/>
        </w:rPr>
        <w:t>年，总部在法国巴黎，是当今世界上历史悠久、影响重大的民间国际经济组织。国际经贸规则制定、争议解决、政策代言是国际商会对全球商界服务的三大体系，国际仲裁、</w:t>
      </w:r>
      <w:r>
        <w:rPr>
          <w:rFonts w:hint="eastAsia"/>
        </w:rPr>
        <w:t>临时进口货物</w:t>
      </w:r>
      <w:r w:rsidRPr="00647AA8">
        <w:rPr>
          <w:rFonts w:hint="eastAsia"/>
        </w:rPr>
        <w:t>通关手册</w:t>
      </w:r>
      <w:r>
        <w:rPr>
          <w:rFonts w:hint="eastAsia"/>
        </w:rPr>
        <w:t>（</w:t>
      </w:r>
      <w:r w:rsidRPr="00332D4B">
        <w:t>ATA</w:t>
      </w:r>
      <w:r>
        <w:t xml:space="preserve"> Carnet</w:t>
      </w:r>
      <w:r>
        <w:rPr>
          <w:rFonts w:hint="eastAsia"/>
        </w:rPr>
        <w:t>）</w:t>
      </w:r>
      <w:r w:rsidRPr="00332D4B">
        <w:rPr>
          <w:rFonts w:hint="eastAsia"/>
        </w:rPr>
        <w:t>、世界贸易信息网、出版物发行等是其服务全球商界的具体手段。国际商会在全球</w:t>
      </w:r>
      <w:r>
        <w:rPr>
          <w:rFonts w:hint="eastAsia"/>
        </w:rPr>
        <w:t>设有</w:t>
      </w:r>
      <w:r w:rsidRPr="00332D4B">
        <w:t>90</w:t>
      </w:r>
      <w:r w:rsidRPr="00332D4B">
        <w:rPr>
          <w:rFonts w:hint="eastAsia"/>
        </w:rPr>
        <w:t>多个国家</w:t>
      </w:r>
      <w:r>
        <w:rPr>
          <w:rFonts w:hint="eastAsia"/>
        </w:rPr>
        <w:t>和地区</w:t>
      </w:r>
      <w:r w:rsidRPr="00332D4B">
        <w:rPr>
          <w:rFonts w:hint="eastAsia"/>
        </w:rPr>
        <w:t>委员会，拥有来自</w:t>
      </w:r>
      <w:r>
        <w:t>130</w:t>
      </w:r>
      <w:r w:rsidRPr="00332D4B">
        <w:rPr>
          <w:rFonts w:hint="eastAsia"/>
        </w:rPr>
        <w:t>多个国家和地区的</w:t>
      </w:r>
      <w:r>
        <w:t>650</w:t>
      </w:r>
      <w:r>
        <w:rPr>
          <w:rFonts w:hint="eastAsia"/>
        </w:rPr>
        <w:t>多万家</w:t>
      </w:r>
      <w:r w:rsidRPr="00332D4B">
        <w:rPr>
          <w:rFonts w:hint="eastAsia"/>
        </w:rPr>
        <w:t>会员，这些会员多是各国和各地区从事国际经贸活动的中坚组织。</w:t>
      </w:r>
    </w:p>
    <w:p w:rsidR="00373017" w:rsidRDefault="00373017" w:rsidP="006407E7">
      <w:pPr>
        <w:ind w:firstLineChars="150" w:firstLine="31680"/>
      </w:pPr>
      <w:r>
        <w:t xml:space="preserve"> </w:t>
      </w:r>
      <w:r w:rsidRPr="00E15076">
        <w:t>1988</w:t>
      </w:r>
      <w:r w:rsidRPr="00E15076">
        <w:rPr>
          <w:rFonts w:hint="eastAsia"/>
        </w:rPr>
        <w:t>年，经国务院批准，中国贸促会开始使用“中国国际商会”名义开展加入国际商会的相关工作。经过</w:t>
      </w:r>
      <w:r w:rsidRPr="00E15076">
        <w:t>8</w:t>
      </w:r>
      <w:r w:rsidRPr="00E15076">
        <w:rPr>
          <w:rFonts w:hint="eastAsia"/>
        </w:rPr>
        <w:t>年多的谈判和努力，中国国际商会代表我国正式加入国际商会，并牵头成立国际商会中国国家委员会（</w:t>
      </w:r>
      <w:r w:rsidRPr="00E15076">
        <w:t>ICC China</w:t>
      </w:r>
      <w:r w:rsidRPr="00E15076">
        <w:rPr>
          <w:rFonts w:hint="eastAsia"/>
        </w:rPr>
        <w:t>）。国际商会中国国家委员会是国际商会在中国的唯一代表机构，秘书局设在中国国际商会。中国国际商会在开展与国际商会相关业务时，使用</w:t>
      </w:r>
      <w:r w:rsidRPr="00E15076">
        <w:t>ICC China</w:t>
      </w:r>
      <w:r w:rsidRPr="00E15076">
        <w:rPr>
          <w:rFonts w:hint="eastAsia"/>
        </w:rPr>
        <w:t>的名义。</w:t>
      </w:r>
    </w:p>
    <w:p w:rsidR="00373017" w:rsidRPr="00200FD9" w:rsidRDefault="00373017">
      <w:pPr>
        <w:rPr>
          <w:b/>
          <w:sz w:val="28"/>
          <w:szCs w:val="28"/>
        </w:rPr>
      </w:pPr>
      <w:r w:rsidRPr="00200FD9">
        <w:rPr>
          <w:rFonts w:hint="eastAsia"/>
          <w:b/>
          <w:sz w:val="28"/>
          <w:szCs w:val="28"/>
        </w:rPr>
        <w:t>内容简介</w:t>
      </w:r>
    </w:p>
    <w:p w:rsidR="00373017" w:rsidRDefault="00373017" w:rsidP="006407E7">
      <w:pPr>
        <w:ind w:firstLineChars="200" w:firstLine="31680"/>
      </w:pPr>
      <w:r>
        <w:rPr>
          <w:rFonts w:hint="eastAsia"/>
        </w:rPr>
        <w:t>长期以来，在国际商品市场上缺乏全球统一的合同范本。在买卖双方自行起草合同的过程中，由于各自立场不同，总是试图添加更有利于自身的合同条款，往往容易将谈判带入僵局。即使顺利起草完毕，合同中的法律漏洞、陷阱条款、措辞模糊等原因引起的纠纷时常发生却又难以调解。国际商会制定的国际销售示范合同致力于为国际商品市场提供一个可参照复制的基础合同模板，并考虑所有交易参与方的均衡利益。本示范合同为大多数基础的国际贸易协议提供了一套清晰且简明的标准合同条款。</w:t>
      </w:r>
    </w:p>
    <w:p w:rsidR="00373017" w:rsidRDefault="00373017" w:rsidP="006407E7">
      <w:pPr>
        <w:ind w:firstLineChars="200" w:firstLine="31680"/>
      </w:pPr>
      <w:r>
        <w:rPr>
          <w:rFonts w:hint="eastAsia"/>
        </w:rPr>
        <w:t>尽管本示范合同名为“销售”合同，但由于它平衡了出口商（卖方）和进口商（买方）的利益，因此本示范合同同样适用于买方使用。因此，它也可以被当作“采购”合同来使用。</w:t>
      </w:r>
    </w:p>
    <w:p w:rsidR="00373017" w:rsidRDefault="00373017" w:rsidP="006407E7">
      <w:pPr>
        <w:ind w:firstLineChars="200" w:firstLine="31680"/>
      </w:pPr>
      <w:r>
        <w:rPr>
          <w:rFonts w:hint="eastAsia"/>
        </w:rPr>
        <w:t>本示范合同分为两部分：</w:t>
      </w:r>
      <w:r>
        <w:t xml:space="preserve">A. </w:t>
      </w:r>
      <w:r>
        <w:rPr>
          <w:rFonts w:hint="eastAsia"/>
        </w:rPr>
        <w:t>专用条款，该部分允许缔约方可以直接通过填写表格的方式来使用该范本；</w:t>
      </w:r>
      <w:r>
        <w:t xml:space="preserve">B. </w:t>
      </w:r>
      <w:r>
        <w:rPr>
          <w:rFonts w:hint="eastAsia"/>
        </w:rPr>
        <w:t>通用条款，该部分列出各项标准法律条款，并作为合同起草或谈判的参考工具。这些通用条款可与专用条款一起使用，亦可独立使用。</w:t>
      </w:r>
    </w:p>
    <w:p w:rsidR="00373017" w:rsidRDefault="00373017" w:rsidP="006407E7">
      <w:pPr>
        <w:ind w:firstLineChars="200" w:firstLine="31680"/>
      </w:pPr>
      <w:r>
        <w:rPr>
          <w:rFonts w:hint="eastAsia"/>
        </w:rPr>
        <w:t>导言部分解释了本合同的适用范围、使用方式，并含有有益的建议和提示。此外，本示范合同的新的交互式电子版本允许用户通过根据屏幕上的相关指引进行特定选择的方式，从而可以根据自己的交易情况方便地定制专用条款。</w:t>
      </w:r>
    </w:p>
    <w:p w:rsidR="00373017" w:rsidRPr="006601C3" w:rsidRDefault="00373017" w:rsidP="006407E7">
      <w:pPr>
        <w:ind w:firstLineChars="200" w:firstLine="31680"/>
      </w:pPr>
      <w:r>
        <w:rPr>
          <w:rFonts w:hint="eastAsia"/>
        </w:rPr>
        <w:t>《国际商会国际销售示范合同》专门适合于以《联合国国际货物销售合同公约》（</w:t>
      </w:r>
      <w:r>
        <w:t>United Nations Convention on Contracts for the International Sale of Goods</w:t>
      </w:r>
      <w:r>
        <w:rPr>
          <w:rFonts w:hint="eastAsia"/>
        </w:rPr>
        <w:t>，</w:t>
      </w:r>
      <w:r>
        <w:t>CISG</w:t>
      </w:r>
      <w:r>
        <w:rPr>
          <w:rFonts w:hint="eastAsia"/>
        </w:rPr>
        <w:t>）为准据法的交易。该公约添列于附录中并适用于日益增长的国际销售业务。</w:t>
      </w:r>
      <w:r w:rsidRPr="006601C3">
        <w:t xml:space="preserve"> </w:t>
      </w:r>
      <w:r w:rsidRPr="006601C3">
        <w:rPr>
          <w:rFonts w:ascii="宋体" w:hAnsi="宋体" w:cs="宋体" w:hint="eastAsia"/>
        </w:rPr>
        <w:t></w:t>
      </w:r>
    </w:p>
    <w:p w:rsidR="00373017" w:rsidRDefault="00373017">
      <w:r>
        <w:t xml:space="preserve">    </w:t>
      </w:r>
      <w:r>
        <w:rPr>
          <w:rFonts w:hint="eastAsia"/>
        </w:rPr>
        <w:t>本书在以前版本的基础上，又新添了国际商会新产品的相关内容，包括《国际贸易术语解释通则</w:t>
      </w:r>
      <w:r>
        <w:t>2010</w:t>
      </w:r>
      <w:r>
        <w:rPr>
          <w:rFonts w:hint="eastAsia"/>
        </w:rPr>
        <w:t>》和银行付款责任（</w:t>
      </w:r>
      <w:r>
        <w:t>BPO</w:t>
      </w:r>
      <w:r>
        <w:rPr>
          <w:rFonts w:hint="eastAsia"/>
        </w:rPr>
        <w:t>）等，在最大程度上为国际贸易协议提供了一套清晰简明的标准合同条款，是国际商会系列示范合同文本的新成果。</w:t>
      </w:r>
    </w:p>
    <w:p w:rsidR="00373017" w:rsidRPr="0095373D" w:rsidRDefault="00373017">
      <w:r>
        <w:t xml:space="preserve">    </w:t>
      </w:r>
    </w:p>
    <w:p w:rsidR="00373017" w:rsidRPr="00CF64D8" w:rsidRDefault="00373017" w:rsidP="006601C3">
      <w:r w:rsidRPr="00200FD9">
        <w:rPr>
          <w:rFonts w:hint="eastAsia"/>
          <w:b/>
          <w:sz w:val="28"/>
          <w:szCs w:val="28"/>
        </w:rPr>
        <w:t>目</w:t>
      </w:r>
      <w:r>
        <w:rPr>
          <w:rFonts w:hint="eastAsia"/>
          <w:b/>
          <w:sz w:val="28"/>
          <w:szCs w:val="28"/>
        </w:rPr>
        <w:t>录</w:t>
      </w:r>
      <w:r w:rsidRPr="00200FD9">
        <w:rPr>
          <w:rFonts w:hint="eastAsia"/>
          <w:b/>
          <w:sz w:val="28"/>
          <w:szCs w:val="28"/>
        </w:rPr>
        <w:t></w:t>
      </w:r>
    </w:p>
    <w:p w:rsidR="00373017" w:rsidRDefault="00373017" w:rsidP="006601C3">
      <w:r>
        <w:rPr>
          <w:rFonts w:hint="eastAsia"/>
        </w:rPr>
        <w:t>导言</w:t>
      </w:r>
    </w:p>
    <w:p w:rsidR="00373017" w:rsidRDefault="00373017" w:rsidP="006601C3">
      <w:r>
        <w:rPr>
          <w:rFonts w:hint="eastAsia"/>
        </w:rPr>
        <w:t>国际商会国际销售示范合同（制成品）</w:t>
      </w:r>
    </w:p>
    <w:p w:rsidR="00373017" w:rsidRDefault="00373017" w:rsidP="00CF64D8">
      <w:pPr>
        <w:numPr>
          <w:ilvl w:val="0"/>
          <w:numId w:val="1"/>
        </w:numPr>
      </w:pPr>
      <w:r>
        <w:rPr>
          <w:rFonts w:hint="eastAsia"/>
        </w:rPr>
        <w:t>专用条款</w:t>
      </w:r>
    </w:p>
    <w:p w:rsidR="00373017" w:rsidRDefault="00373017" w:rsidP="00CF64D8">
      <w:pPr>
        <w:numPr>
          <w:ilvl w:val="0"/>
          <w:numId w:val="1"/>
        </w:numPr>
      </w:pPr>
      <w:r>
        <w:rPr>
          <w:rFonts w:hint="eastAsia"/>
        </w:rPr>
        <w:t>通用条款</w:t>
      </w:r>
    </w:p>
    <w:p w:rsidR="00373017" w:rsidRDefault="00373017" w:rsidP="00CF64D8">
      <w:r>
        <w:rPr>
          <w:rFonts w:hint="eastAsia"/>
        </w:rPr>
        <w:t>附录</w:t>
      </w:r>
    </w:p>
    <w:p w:rsidR="00373017" w:rsidRDefault="00373017" w:rsidP="00CF64D8">
      <w:r>
        <w:t xml:space="preserve">    </w:t>
      </w:r>
      <w:r>
        <w:rPr>
          <w:rFonts w:hint="eastAsia"/>
        </w:rPr>
        <w:t>附录</w:t>
      </w:r>
      <w:r>
        <w:t xml:space="preserve">1. </w:t>
      </w:r>
      <w:r>
        <w:rPr>
          <w:rFonts w:hint="eastAsia"/>
        </w:rPr>
        <w:t>示范格式</w:t>
      </w:r>
    </w:p>
    <w:p w:rsidR="00373017" w:rsidRDefault="00373017" w:rsidP="00CF64D8">
      <w:r>
        <w:t xml:space="preserve">    </w:t>
      </w:r>
      <w:r>
        <w:rPr>
          <w:rFonts w:hint="eastAsia"/>
        </w:rPr>
        <w:t>附录</w:t>
      </w:r>
      <w:r>
        <w:t xml:space="preserve">2. </w:t>
      </w:r>
      <w:r>
        <w:rPr>
          <w:rFonts w:hint="eastAsia"/>
        </w:rPr>
        <w:t>《国际贸易术语解释通则</w:t>
      </w:r>
      <w:r>
        <w:t>®2010</w:t>
      </w:r>
      <w:r>
        <w:rPr>
          <w:rFonts w:hint="eastAsia"/>
        </w:rPr>
        <w:t>》使用说明</w:t>
      </w:r>
    </w:p>
    <w:p w:rsidR="00373017" w:rsidRDefault="00373017" w:rsidP="00CF64D8">
      <w:r>
        <w:t xml:space="preserve">    </w:t>
      </w:r>
      <w:r>
        <w:rPr>
          <w:rFonts w:hint="eastAsia"/>
        </w:rPr>
        <w:t>附录</w:t>
      </w:r>
      <w:r>
        <w:t xml:space="preserve">3. </w:t>
      </w:r>
      <w:r>
        <w:rPr>
          <w:rFonts w:hint="eastAsia"/>
        </w:rPr>
        <w:t>《联合国国际货物销售合同公约》（</w:t>
      </w:r>
      <w:r>
        <w:t>CISG</w:t>
      </w:r>
      <w:r>
        <w:rPr>
          <w:rFonts w:hint="eastAsia"/>
        </w:rPr>
        <w:t>）</w:t>
      </w:r>
    </w:p>
    <w:p w:rsidR="00373017" w:rsidRDefault="00373017" w:rsidP="00CF64D8">
      <w:r>
        <w:rPr>
          <w:rFonts w:hint="eastAsia"/>
        </w:rPr>
        <w:t>国际商会简介</w:t>
      </w:r>
    </w:p>
    <w:p w:rsidR="00373017" w:rsidRDefault="00373017" w:rsidP="00CF64D8">
      <w:r>
        <w:rPr>
          <w:rFonts w:hint="eastAsia"/>
        </w:rPr>
        <w:t>国际商会部分专门机构</w:t>
      </w:r>
    </w:p>
    <w:p w:rsidR="00373017" w:rsidRDefault="00373017" w:rsidP="00CF64D8"/>
    <w:p w:rsidR="00373017" w:rsidRDefault="00373017" w:rsidP="00092A96">
      <w:pPr>
        <w:ind w:firstLineChars="200" w:firstLine="31680"/>
        <w:rPr>
          <w:b/>
          <w:sz w:val="24"/>
          <w:szCs w:val="24"/>
        </w:rPr>
      </w:pPr>
      <w:r w:rsidRPr="00EA7CAC">
        <w:rPr>
          <w:rFonts w:hint="eastAsia"/>
          <w:b/>
          <w:sz w:val="24"/>
          <w:szCs w:val="24"/>
        </w:rPr>
        <w:t>本书在全国各大新华书店及各网店销售</w:t>
      </w:r>
      <w:r>
        <w:rPr>
          <w:rFonts w:hint="eastAsia"/>
          <w:b/>
          <w:sz w:val="24"/>
          <w:szCs w:val="24"/>
        </w:rPr>
        <w:t>。</w:t>
      </w:r>
    </w:p>
    <w:p w:rsidR="00373017" w:rsidRDefault="00373017" w:rsidP="00092A96">
      <w:pPr>
        <w:ind w:firstLineChars="200" w:firstLine="31680"/>
        <w:rPr>
          <w:b/>
          <w:sz w:val="24"/>
          <w:szCs w:val="24"/>
        </w:rPr>
      </w:pPr>
      <w:r w:rsidRPr="00EA7CAC">
        <w:rPr>
          <w:rFonts w:hint="eastAsia"/>
          <w:b/>
          <w:sz w:val="24"/>
          <w:szCs w:val="24"/>
        </w:rPr>
        <w:t>王老师（团购</w:t>
      </w:r>
      <w:r w:rsidRPr="00EA7CAC">
        <w:rPr>
          <w:b/>
          <w:sz w:val="24"/>
          <w:szCs w:val="24"/>
        </w:rPr>
        <w:t>50</w:t>
      </w:r>
      <w:r w:rsidRPr="00EA7CAC">
        <w:rPr>
          <w:rFonts w:hint="eastAsia"/>
          <w:b/>
          <w:sz w:val="24"/>
          <w:szCs w:val="24"/>
        </w:rPr>
        <w:t>本以上）</w:t>
      </w:r>
      <w:r>
        <w:rPr>
          <w:rFonts w:hint="eastAsia"/>
          <w:b/>
          <w:sz w:val="24"/>
          <w:szCs w:val="24"/>
        </w:rPr>
        <w:t>：</w:t>
      </w:r>
      <w:r w:rsidRPr="00EA7CAC">
        <w:rPr>
          <w:b/>
          <w:sz w:val="24"/>
          <w:szCs w:val="24"/>
        </w:rPr>
        <w:t>010-64493877</w:t>
      </w:r>
      <w:r>
        <w:rPr>
          <w:rFonts w:hint="eastAsia"/>
          <w:b/>
          <w:sz w:val="24"/>
          <w:szCs w:val="24"/>
        </w:rPr>
        <w:t>。</w:t>
      </w:r>
    </w:p>
    <w:p w:rsidR="00373017" w:rsidRPr="004321D0" w:rsidRDefault="00373017" w:rsidP="004321D0">
      <w:pPr>
        <w:ind w:firstLineChars="200" w:firstLine="31680"/>
        <w:rPr>
          <w:b/>
          <w:sz w:val="24"/>
          <w:szCs w:val="24"/>
        </w:rPr>
      </w:pPr>
      <w:r>
        <w:rPr>
          <w:rFonts w:hint="eastAsia"/>
          <w:b/>
          <w:sz w:val="24"/>
          <w:szCs w:val="24"/>
        </w:rPr>
        <w:t>李老师（散购）：</w:t>
      </w:r>
      <w:r>
        <w:rPr>
          <w:b/>
          <w:sz w:val="24"/>
          <w:szCs w:val="24"/>
        </w:rPr>
        <w:t>010-6449</w:t>
      </w:r>
      <w:r w:rsidRPr="004321D0">
        <w:rPr>
          <w:b/>
          <w:sz w:val="24"/>
          <w:szCs w:val="24"/>
        </w:rPr>
        <w:t>2338</w:t>
      </w:r>
      <w:r>
        <w:rPr>
          <w:rFonts w:hint="eastAsia"/>
          <w:b/>
          <w:sz w:val="24"/>
          <w:szCs w:val="24"/>
        </w:rPr>
        <w:t>。</w:t>
      </w:r>
    </w:p>
    <w:p w:rsidR="00373017" w:rsidRDefault="00373017" w:rsidP="00092A96">
      <w:pPr>
        <w:ind w:firstLineChars="200" w:firstLine="31680"/>
        <w:rPr>
          <w:b/>
          <w:sz w:val="24"/>
          <w:szCs w:val="24"/>
        </w:rPr>
      </w:pPr>
    </w:p>
    <w:sectPr w:rsidR="00373017" w:rsidSect="004267B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17" w:rsidRDefault="00373017" w:rsidP="006601C3">
      <w:r>
        <w:separator/>
      </w:r>
    </w:p>
  </w:endnote>
  <w:endnote w:type="continuationSeparator" w:id="0">
    <w:p w:rsidR="00373017" w:rsidRDefault="00373017" w:rsidP="00660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17" w:rsidRDefault="00373017" w:rsidP="006601C3">
      <w:r>
        <w:separator/>
      </w:r>
    </w:p>
  </w:footnote>
  <w:footnote w:type="continuationSeparator" w:id="0">
    <w:p w:rsidR="00373017" w:rsidRDefault="00373017" w:rsidP="00660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rsidP="006407E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7" w:rsidRDefault="00373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0992"/>
    <w:multiLevelType w:val="hybridMultilevel"/>
    <w:tmpl w:val="B1102C4C"/>
    <w:lvl w:ilvl="0" w:tplc="38103F74">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1C3"/>
    <w:rsid w:val="000107E4"/>
    <w:rsid w:val="000271E3"/>
    <w:rsid w:val="00053C49"/>
    <w:rsid w:val="00092A96"/>
    <w:rsid w:val="000B7F15"/>
    <w:rsid w:val="000C4EC5"/>
    <w:rsid w:val="000E1240"/>
    <w:rsid w:val="000F1352"/>
    <w:rsid w:val="00103100"/>
    <w:rsid w:val="00105D63"/>
    <w:rsid w:val="001C2743"/>
    <w:rsid w:val="00200FD9"/>
    <w:rsid w:val="00230645"/>
    <w:rsid w:val="00253C81"/>
    <w:rsid w:val="00260308"/>
    <w:rsid w:val="002D7D16"/>
    <w:rsid w:val="002E0B0A"/>
    <w:rsid w:val="00300334"/>
    <w:rsid w:val="00302A5F"/>
    <w:rsid w:val="00310525"/>
    <w:rsid w:val="0033105F"/>
    <w:rsid w:val="00332D4B"/>
    <w:rsid w:val="00335C23"/>
    <w:rsid w:val="00373017"/>
    <w:rsid w:val="003B4839"/>
    <w:rsid w:val="003D0FA6"/>
    <w:rsid w:val="004267BF"/>
    <w:rsid w:val="004321D0"/>
    <w:rsid w:val="004740DC"/>
    <w:rsid w:val="00485105"/>
    <w:rsid w:val="00490BAF"/>
    <w:rsid w:val="004A78FC"/>
    <w:rsid w:val="004B74E5"/>
    <w:rsid w:val="00544DA0"/>
    <w:rsid w:val="0057511F"/>
    <w:rsid w:val="0058710D"/>
    <w:rsid w:val="005B706D"/>
    <w:rsid w:val="006407E7"/>
    <w:rsid w:val="00647AA8"/>
    <w:rsid w:val="006601C3"/>
    <w:rsid w:val="00690CBD"/>
    <w:rsid w:val="006910DC"/>
    <w:rsid w:val="00694DF8"/>
    <w:rsid w:val="006D512D"/>
    <w:rsid w:val="00706490"/>
    <w:rsid w:val="00791332"/>
    <w:rsid w:val="007A0604"/>
    <w:rsid w:val="007E1CB6"/>
    <w:rsid w:val="00800388"/>
    <w:rsid w:val="00803601"/>
    <w:rsid w:val="00832824"/>
    <w:rsid w:val="00846F15"/>
    <w:rsid w:val="008661EB"/>
    <w:rsid w:val="008E3582"/>
    <w:rsid w:val="008E7FC8"/>
    <w:rsid w:val="00903DBA"/>
    <w:rsid w:val="00923FF5"/>
    <w:rsid w:val="00952B46"/>
    <w:rsid w:val="0095373D"/>
    <w:rsid w:val="009A535B"/>
    <w:rsid w:val="009B0A17"/>
    <w:rsid w:val="009F53AC"/>
    <w:rsid w:val="00A05C7C"/>
    <w:rsid w:val="00A108C1"/>
    <w:rsid w:val="00A205F7"/>
    <w:rsid w:val="00A22D13"/>
    <w:rsid w:val="00A34CCC"/>
    <w:rsid w:val="00AB36F6"/>
    <w:rsid w:val="00B0730F"/>
    <w:rsid w:val="00B5326D"/>
    <w:rsid w:val="00B5736B"/>
    <w:rsid w:val="00B62264"/>
    <w:rsid w:val="00B65747"/>
    <w:rsid w:val="00B740CE"/>
    <w:rsid w:val="00BE3B5E"/>
    <w:rsid w:val="00C05FB7"/>
    <w:rsid w:val="00C377EF"/>
    <w:rsid w:val="00CF3594"/>
    <w:rsid w:val="00CF64D8"/>
    <w:rsid w:val="00D03F62"/>
    <w:rsid w:val="00D12AD8"/>
    <w:rsid w:val="00D2590C"/>
    <w:rsid w:val="00D54539"/>
    <w:rsid w:val="00D60DCC"/>
    <w:rsid w:val="00D865B7"/>
    <w:rsid w:val="00D870D1"/>
    <w:rsid w:val="00DC3B41"/>
    <w:rsid w:val="00DC5FC8"/>
    <w:rsid w:val="00DD7839"/>
    <w:rsid w:val="00E15076"/>
    <w:rsid w:val="00E61BDC"/>
    <w:rsid w:val="00E64399"/>
    <w:rsid w:val="00E90F0C"/>
    <w:rsid w:val="00EA7CAC"/>
    <w:rsid w:val="00EE1A53"/>
    <w:rsid w:val="00EE42CF"/>
    <w:rsid w:val="00F445E9"/>
    <w:rsid w:val="00FF7D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01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01C3"/>
    <w:rPr>
      <w:rFonts w:cs="Times New Roman"/>
      <w:sz w:val="18"/>
      <w:szCs w:val="18"/>
    </w:rPr>
  </w:style>
  <w:style w:type="paragraph" w:styleId="Footer">
    <w:name w:val="footer"/>
    <w:basedOn w:val="Normal"/>
    <w:link w:val="FooterChar"/>
    <w:uiPriority w:val="99"/>
    <w:semiHidden/>
    <w:rsid w:val="006601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601C3"/>
    <w:rPr>
      <w:rFonts w:cs="Times New Roman"/>
      <w:sz w:val="18"/>
      <w:szCs w:val="18"/>
    </w:rPr>
  </w:style>
  <w:style w:type="paragraph" w:styleId="Title">
    <w:name w:val="Title"/>
    <w:basedOn w:val="Normal"/>
    <w:next w:val="Normal"/>
    <w:link w:val="TitleChar"/>
    <w:uiPriority w:val="99"/>
    <w:qFormat/>
    <w:rsid w:val="00200FD9"/>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200FD9"/>
    <w:rPr>
      <w:rFonts w:ascii="Cambria" w:eastAsia="宋体" w:hAnsi="Cambria" w:cs="Times New Roman"/>
      <w:b/>
      <w:bCs/>
      <w:sz w:val="32"/>
      <w:szCs w:val="32"/>
    </w:rPr>
  </w:style>
  <w:style w:type="paragraph" w:styleId="BalloonText">
    <w:name w:val="Balloon Text"/>
    <w:basedOn w:val="Normal"/>
    <w:link w:val="BalloonTextChar"/>
    <w:uiPriority w:val="99"/>
    <w:semiHidden/>
    <w:rsid w:val="00105D63"/>
    <w:rPr>
      <w:sz w:val="18"/>
      <w:szCs w:val="18"/>
    </w:rPr>
  </w:style>
  <w:style w:type="character" w:customStyle="1" w:styleId="BalloonTextChar">
    <w:name w:val="Balloon Text Char"/>
    <w:basedOn w:val="DefaultParagraphFont"/>
    <w:link w:val="BalloonText"/>
    <w:uiPriority w:val="99"/>
    <w:semiHidden/>
    <w:locked/>
    <w:rsid w:val="00B65747"/>
    <w:rPr>
      <w:rFonts w:cs="Times New Roman"/>
      <w:sz w:val="2"/>
    </w:rPr>
  </w:style>
</w:styles>
</file>

<file path=word/webSettings.xml><?xml version="1.0" encoding="utf-8"?>
<w:webSettings xmlns:r="http://schemas.openxmlformats.org/officeDocument/2006/relationships" xmlns:w="http://schemas.openxmlformats.org/wordprocessingml/2006/main">
  <w:divs>
    <w:div w:id="221063616">
      <w:marLeft w:val="0"/>
      <w:marRight w:val="0"/>
      <w:marTop w:val="0"/>
      <w:marBottom w:val="0"/>
      <w:divBdr>
        <w:top w:val="none" w:sz="0" w:space="0" w:color="auto"/>
        <w:left w:val="none" w:sz="0" w:space="0" w:color="auto"/>
        <w:bottom w:val="none" w:sz="0" w:space="0" w:color="auto"/>
        <w:right w:val="none" w:sz="0" w:space="0" w:color="auto"/>
      </w:divBdr>
    </w:div>
    <w:div w:id="221063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2</Pages>
  <Words>242</Words>
  <Characters>1381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63</cp:revision>
  <dcterms:created xsi:type="dcterms:W3CDTF">2016-04-29T06:55:00Z</dcterms:created>
  <dcterms:modified xsi:type="dcterms:W3CDTF">2016-10-17T01:25:00Z</dcterms:modified>
</cp:coreProperties>
</file>